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F9EDF" w14:textId="77777777" w:rsidR="006F3CF5" w:rsidRPr="006F3CF5" w:rsidRDefault="006F3CF5" w:rsidP="006F3CF5">
      <w:pPr>
        <w:widowControl w:val="0"/>
        <w:autoSpaceDE w:val="0"/>
        <w:autoSpaceDN w:val="0"/>
        <w:adjustRightInd w:val="0"/>
        <w:rPr>
          <w:rFonts w:ascii="Trebuchet MS" w:hAnsi="Trebuchet MS" w:cs="Trebuchet MS"/>
          <w:color w:val="343434"/>
          <w:sz w:val="54"/>
          <w:szCs w:val="54"/>
        </w:rPr>
      </w:pPr>
      <w:r>
        <w:rPr>
          <w:rFonts w:ascii="Trebuchet MS" w:hAnsi="Trebuchet MS" w:cs="Trebuchet MS"/>
          <w:color w:val="343434"/>
          <w:sz w:val="54"/>
          <w:szCs w:val="54"/>
        </w:rPr>
        <w:t xml:space="preserve"> Informed Consent</w:t>
      </w:r>
    </w:p>
    <w:p w14:paraId="26EED197" w14:textId="77777777" w:rsidR="006F3CF5" w:rsidRDefault="006F3CF5" w:rsidP="006F3CF5">
      <w:pPr>
        <w:widowControl w:val="0"/>
        <w:autoSpaceDE w:val="0"/>
        <w:autoSpaceDN w:val="0"/>
        <w:adjustRightInd w:val="0"/>
        <w:rPr>
          <w:rFonts w:ascii="Arial" w:hAnsi="Arial" w:cs="Arial"/>
          <w:color w:val="343434"/>
          <w:sz w:val="26"/>
          <w:szCs w:val="26"/>
        </w:rPr>
      </w:pPr>
    </w:p>
    <w:p w14:paraId="32EB5C02" w14:textId="77777777" w:rsidR="006F3CF5" w:rsidRDefault="006F3CF5" w:rsidP="006F3CF5">
      <w:pPr>
        <w:widowControl w:val="0"/>
        <w:autoSpaceDE w:val="0"/>
        <w:autoSpaceDN w:val="0"/>
        <w:adjustRightInd w:val="0"/>
        <w:rPr>
          <w:rFonts w:ascii="Arial" w:hAnsi="Arial" w:cs="Arial"/>
          <w:color w:val="343434"/>
          <w:sz w:val="26"/>
          <w:szCs w:val="26"/>
        </w:rPr>
      </w:pPr>
    </w:p>
    <w:p w14:paraId="0A357D84"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This is a sample informed consent document. The fee schedule may need to be adapted to fit your practice. Fees should be consistent with what other counselors or therapists in your area charge. A sliding scale is optional and you can set your own fees for this as long as you are consistent for each client.</w:t>
      </w:r>
    </w:p>
    <w:p w14:paraId="411CDAB0" w14:textId="77777777" w:rsidR="006F3CF5" w:rsidRDefault="00211340" w:rsidP="006F3CF5">
      <w:pPr>
        <w:widowControl w:val="0"/>
        <w:autoSpaceDE w:val="0"/>
        <w:autoSpaceDN w:val="0"/>
        <w:adjustRightInd w:val="0"/>
        <w:rPr>
          <w:rFonts w:ascii="Trebuchet MS" w:hAnsi="Trebuchet MS" w:cs="Trebuchet MS"/>
          <w:color w:val="343434"/>
          <w:sz w:val="40"/>
          <w:szCs w:val="40"/>
        </w:rPr>
      </w:pPr>
      <w:hyperlink r:id="rId5" w:history="1">
        <w:r w:rsidR="006F3CF5">
          <w:rPr>
            <w:rFonts w:ascii="Trebuchet MS" w:hAnsi="Trebuchet MS" w:cs="Trebuchet MS"/>
            <w:color w:val="BF3013"/>
            <w:sz w:val="40"/>
            <w:szCs w:val="40"/>
          </w:rPr>
          <w:t>Informed Consent</w:t>
        </w:r>
      </w:hyperlink>
    </w:p>
    <w:p w14:paraId="0AFE7273"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Client-Counselor Service Agreement</w:t>
      </w:r>
    </w:p>
    <w:p w14:paraId="5E795774"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Welcome to my practice. This document contains important information about my professional services and business policies. It also contains summary information about the </w:t>
      </w:r>
      <w:hyperlink r:id="rId6" w:history="1">
        <w:r>
          <w:rPr>
            <w:rFonts w:ascii="Arial" w:hAnsi="Arial" w:cs="Arial"/>
            <w:color w:val="BF3013"/>
            <w:sz w:val="26"/>
            <w:szCs w:val="26"/>
          </w:rPr>
          <w:t>Health Insurance Portability and Accountability Act</w:t>
        </w:r>
      </w:hyperlink>
      <w:r>
        <w:rPr>
          <w:rFonts w:ascii="Arial" w:hAnsi="Arial" w:cs="Arial"/>
          <w:color w:val="343434"/>
          <w:sz w:val="26"/>
          <w:szCs w:val="26"/>
        </w:rPr>
        <w:t xml:space="preserve"> (HIPAA), a federal law that provides privacy protections and </w:t>
      </w:r>
      <w:hyperlink r:id="rId7" w:history="1">
        <w:r>
          <w:rPr>
            <w:rFonts w:ascii="Arial" w:hAnsi="Arial" w:cs="Arial"/>
            <w:color w:val="BF3013"/>
            <w:sz w:val="26"/>
            <w:szCs w:val="26"/>
          </w:rPr>
          <w:t>patient rights</w:t>
        </w:r>
      </w:hyperlink>
      <w:r>
        <w:rPr>
          <w:rFonts w:ascii="Arial" w:hAnsi="Arial" w:cs="Arial"/>
          <w:color w:val="343434"/>
          <w:sz w:val="26"/>
          <w:szCs w:val="26"/>
        </w:rPr>
        <w:t xml:space="preserve"> about the use and disclosure of your </w:t>
      </w:r>
      <w:hyperlink r:id="rId8" w:history="1">
        <w:r>
          <w:rPr>
            <w:rFonts w:ascii="Arial" w:hAnsi="Arial" w:cs="Arial"/>
            <w:color w:val="BF3013"/>
            <w:sz w:val="26"/>
            <w:szCs w:val="26"/>
          </w:rPr>
          <w:t>Protected Health Information</w:t>
        </w:r>
      </w:hyperlink>
      <w:r>
        <w:rPr>
          <w:rFonts w:ascii="Arial" w:hAnsi="Arial" w:cs="Arial"/>
          <w:color w:val="343434"/>
          <w:sz w:val="26"/>
          <w:szCs w:val="26"/>
        </w:rPr>
        <w:t xml:space="preserve">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701CE763"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w:t>
      </w:r>
    </w:p>
    <w:p w14:paraId="1FE5B089"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 Goals of Counseling</w:t>
      </w:r>
    </w:p>
    <w:p w14:paraId="49B23D14"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There can be many goals for the counseling relationship. Some of these will be </w:t>
      </w:r>
      <w:proofErr w:type="gramStart"/>
      <w:r>
        <w:rPr>
          <w:rFonts w:ascii="Arial" w:hAnsi="Arial" w:cs="Arial"/>
          <w:color w:val="343434"/>
          <w:sz w:val="26"/>
          <w:szCs w:val="26"/>
        </w:rPr>
        <w:t>long term</w:t>
      </w:r>
      <w:proofErr w:type="gramEnd"/>
      <w:r>
        <w:rPr>
          <w:rFonts w:ascii="Arial" w:hAnsi="Arial" w:cs="Arial"/>
          <w:color w:val="343434"/>
          <w:sz w:val="26"/>
          <w:szCs w:val="26"/>
        </w:rPr>
        <w:t xml:space="preserve"> goals such as improving the quality of your life, learning to live with mindfulness and self-actualization. Others may be more immediate goals such as decreasing anxiety and depression symptoms, developing healthy relationships, changing behavior or decreasing/ending drug use. Whatever the goals for counseling, they will be set by the clients according to what they want to work on in counseling. The counselor may make suggestions on how to reach that goal but you decide where you want to go.</w:t>
      </w:r>
    </w:p>
    <w:p w14:paraId="55DE02C7"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Risks/Benefits of Counseling</w:t>
      </w:r>
    </w:p>
    <w:p w14:paraId="411D7651"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Counseling is an intensely personal </w:t>
      </w:r>
      <w:proofErr w:type="gramStart"/>
      <w:r>
        <w:rPr>
          <w:rFonts w:ascii="Arial" w:hAnsi="Arial" w:cs="Arial"/>
          <w:color w:val="343434"/>
          <w:sz w:val="26"/>
          <w:szCs w:val="26"/>
        </w:rPr>
        <w:t>process which</w:t>
      </w:r>
      <w:proofErr w:type="gramEnd"/>
      <w:r>
        <w:rPr>
          <w:rFonts w:ascii="Arial" w:hAnsi="Arial" w:cs="Arial"/>
          <w:color w:val="343434"/>
          <w:sz w:val="26"/>
          <w:szCs w:val="26"/>
        </w:rPr>
        <w:t xml:space="preserve"> can bring unpleasant memories or emotions to the surface. There are no guarantees that </w:t>
      </w:r>
      <w:r>
        <w:rPr>
          <w:rFonts w:ascii="Arial" w:hAnsi="Arial" w:cs="Arial"/>
          <w:color w:val="343434"/>
          <w:sz w:val="26"/>
          <w:szCs w:val="26"/>
        </w:rPr>
        <w:lastRenderedPageBreak/>
        <w:t>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p>
    <w:p w14:paraId="2250DC17"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However, there are many benefits to counseling. Counseling can help you develop coping skills, make behavioral changes, reduce symptoms of mental health disorders, improve the quality of your life, learn to manage anger, learn to live in the present and many other advantages.</w:t>
      </w:r>
    </w:p>
    <w:p w14:paraId="13182FF5"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 Appointments</w:t>
      </w:r>
    </w:p>
    <w:p w14:paraId="21F47610"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Appointments will ordinarily be 50-60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w:t>
      </w:r>
      <w:proofErr w:type="gramStart"/>
      <w:r>
        <w:rPr>
          <w:rFonts w:ascii="Arial" w:hAnsi="Arial" w:cs="Arial"/>
          <w:color w:val="343434"/>
          <w:sz w:val="26"/>
          <w:szCs w:val="26"/>
        </w:rPr>
        <w:t>24 hour</w:t>
      </w:r>
      <w:proofErr w:type="gramEnd"/>
      <w:r>
        <w:rPr>
          <w:rFonts w:ascii="Arial" w:hAnsi="Arial" w:cs="Arial"/>
          <w:color w:val="343434"/>
          <w:sz w:val="26"/>
          <w:szCs w:val="26"/>
        </w:rPr>
        <w:t xml:space="preserve"> notice, you may be required to pay for the session [unless we both agree that you were unable to attend due to circumstances beyond your control]. It is important to note that insurance companies do not provide reimbursement for cancelled sessions; thus, you will be responsible the cancelation fee. In addition, you are responsible for coming to your session on time</w:t>
      </w:r>
      <w:proofErr w:type="gramStart"/>
      <w:r>
        <w:rPr>
          <w:rFonts w:ascii="Arial" w:hAnsi="Arial" w:cs="Arial"/>
          <w:color w:val="343434"/>
          <w:sz w:val="26"/>
          <w:szCs w:val="26"/>
        </w:rPr>
        <w:t>;</w:t>
      </w:r>
      <w:proofErr w:type="gramEnd"/>
      <w:r>
        <w:rPr>
          <w:rFonts w:ascii="Arial" w:hAnsi="Arial" w:cs="Arial"/>
          <w:color w:val="343434"/>
          <w:sz w:val="26"/>
          <w:szCs w:val="26"/>
        </w:rPr>
        <w:t xml:space="preserve"> if you are late, your appointment will still need to end on time.</w:t>
      </w:r>
    </w:p>
    <w:p w14:paraId="3A621629"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 Confidentiality</w:t>
      </w:r>
    </w:p>
    <w:p w14:paraId="5FF8EE45"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Your counselor will make every effort to keep your personal information private. If you wish to have information released, you will be required to sign a consent form before such information will be released. There are some limitations to </w:t>
      </w:r>
      <w:hyperlink r:id="rId9" w:history="1">
        <w:r>
          <w:rPr>
            <w:rFonts w:ascii="Arial" w:hAnsi="Arial" w:cs="Arial"/>
            <w:color w:val="BF3013"/>
            <w:sz w:val="26"/>
            <w:szCs w:val="26"/>
          </w:rPr>
          <w:t>confidentiality</w:t>
        </w:r>
      </w:hyperlink>
      <w:r>
        <w:rPr>
          <w:rFonts w:ascii="Arial" w:hAnsi="Arial" w:cs="Arial"/>
          <w:color w:val="343434"/>
          <w:sz w:val="26"/>
          <w:szCs w:val="26"/>
        </w:rPr>
        <w:t xml:space="preserve"> to which you need to be aware. Your counselor may consult with a supervisor or other professional counselor in order to give you the best service. In the event that your counselor consults with another counselor, no identifying information such as your name would be released. Counselors are required by law to release information when the client poses a risk to themselves or others and in cases of abuse to children or the elderly. If your counselor receives a </w:t>
      </w:r>
      <w:hyperlink r:id="rId10" w:history="1">
        <w:r>
          <w:rPr>
            <w:rFonts w:ascii="Arial" w:hAnsi="Arial" w:cs="Arial"/>
            <w:color w:val="BF3013"/>
            <w:sz w:val="26"/>
            <w:szCs w:val="26"/>
          </w:rPr>
          <w:t>court order</w:t>
        </w:r>
      </w:hyperlink>
      <w:r>
        <w:rPr>
          <w:rFonts w:ascii="Arial" w:hAnsi="Arial" w:cs="Arial"/>
          <w:color w:val="343434"/>
          <w:sz w:val="26"/>
          <w:szCs w:val="26"/>
        </w:rPr>
        <w:t xml:space="preserve"> or subpoena, she may be required to release some information. In such a case, your counselor will consult with other professionals and limit the release to only what is necessary by law.</w:t>
      </w:r>
    </w:p>
    <w:p w14:paraId="6BD9C2ED"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 xml:space="preserve">Confidentiality and </w:t>
      </w:r>
      <w:hyperlink r:id="rId11" w:history="1">
        <w:r>
          <w:rPr>
            <w:rFonts w:ascii="Trebuchet MS" w:hAnsi="Trebuchet MS" w:cs="Trebuchet MS"/>
            <w:color w:val="BF3013"/>
            <w:sz w:val="36"/>
            <w:szCs w:val="36"/>
          </w:rPr>
          <w:t>Group Therapy</w:t>
        </w:r>
      </w:hyperlink>
    </w:p>
    <w:p w14:paraId="1C17F396"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The nature of group counseling makes it difficult to maintain confidentiality. If you choose to participate in group therapy, be aware that your counselor cannot guarantee that other group members will maintain your confidentiality. However, your counselor will make ever effort to maintain your confidentiality by reminding group members frequently of the importance of keeping what is said </w:t>
      </w:r>
      <w:proofErr w:type="gramStart"/>
      <w:r>
        <w:rPr>
          <w:rFonts w:ascii="Arial" w:hAnsi="Arial" w:cs="Arial"/>
          <w:color w:val="343434"/>
          <w:sz w:val="26"/>
          <w:szCs w:val="26"/>
        </w:rPr>
        <w:t>in group</w:t>
      </w:r>
      <w:proofErr w:type="gramEnd"/>
      <w:r>
        <w:rPr>
          <w:rFonts w:ascii="Arial" w:hAnsi="Arial" w:cs="Arial"/>
          <w:color w:val="343434"/>
          <w:sz w:val="26"/>
          <w:szCs w:val="26"/>
        </w:rPr>
        <w:t xml:space="preserve"> confidential. Your counselor also has the right to remove any group member from the group should she discover that a group member has violated the confidentiality rule.</w:t>
      </w:r>
    </w:p>
    <w:p w14:paraId="5DE89423"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Confidentiality and Technology</w:t>
      </w:r>
    </w:p>
    <w:p w14:paraId="3E87E9F7"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Some clients may choose to use technology in their counseling sessions. This includes but is not limited to online counseling via Skype, telephone, email, text or chat. Due to the nature of online counseling, there is always the possibility that unauthorized persons may attempt to discover your personal information. Your counselor will take every precaution to safeguard your information but cannot guarantee that unauthorized access to electronic communications could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 Should a client have concerns about the safety of their email, your counselor can arrange to encrypt email communication with you.</w:t>
      </w:r>
    </w:p>
    <w:p w14:paraId="7F278E1B"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Record Keeping</w:t>
      </w:r>
    </w:p>
    <w:p w14:paraId="2B8398CC"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Your counselor may keep records of your counseling sessions and a treatment </w:t>
      </w:r>
      <w:proofErr w:type="gramStart"/>
      <w:r>
        <w:rPr>
          <w:rFonts w:ascii="Arial" w:hAnsi="Arial" w:cs="Arial"/>
          <w:color w:val="343434"/>
          <w:sz w:val="26"/>
          <w:szCs w:val="26"/>
        </w:rPr>
        <w:t>plan which</w:t>
      </w:r>
      <w:proofErr w:type="gramEnd"/>
      <w:r>
        <w:rPr>
          <w:rFonts w:ascii="Arial" w:hAnsi="Arial" w:cs="Arial"/>
          <w:color w:val="343434"/>
          <w:sz w:val="26"/>
          <w:szCs w:val="26"/>
        </w:rPr>
        <w:t xml:space="preserve">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w:t>
      </w:r>
      <w:proofErr w:type="gramStart"/>
      <w:r>
        <w:rPr>
          <w:rFonts w:ascii="Arial" w:hAnsi="Arial" w:cs="Arial"/>
          <w:color w:val="343434"/>
          <w:sz w:val="26"/>
          <w:szCs w:val="26"/>
        </w:rPr>
        <w:t>information which specifies what information</w:t>
      </w:r>
      <w:proofErr w:type="gramEnd"/>
      <w:r>
        <w:rPr>
          <w:rFonts w:ascii="Arial" w:hAnsi="Arial" w:cs="Arial"/>
          <w:color w:val="343434"/>
          <w:sz w:val="26"/>
          <w:szCs w:val="26"/>
        </w:rPr>
        <w:t xml:space="preserve"> is to be released and to whom. Records will be kept for at least 7 years but may be kept for longer. Records will be kept either electronically on a USB flash drive or in a paper file and stored in a locked cabinet in the counselor’s office.</w:t>
      </w:r>
    </w:p>
    <w:p w14:paraId="72898EAA"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Professional Fees</w:t>
      </w:r>
    </w:p>
    <w:p w14:paraId="223317AE"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 are responsible for paying at the time of your session unless prior arrangements have been made. </w:t>
      </w:r>
      <w:proofErr w:type="gramStart"/>
      <w:r>
        <w:rPr>
          <w:rFonts w:ascii="Arial" w:hAnsi="Arial" w:cs="Arial"/>
          <w:color w:val="343434"/>
          <w:sz w:val="26"/>
          <w:szCs w:val="26"/>
        </w:rPr>
        <w:t>Payment must be made by check or cash</w:t>
      </w:r>
      <w:proofErr w:type="gramEnd"/>
      <w:r>
        <w:rPr>
          <w:rFonts w:ascii="Arial" w:hAnsi="Arial" w:cs="Arial"/>
          <w:color w:val="343434"/>
          <w:sz w:val="26"/>
          <w:szCs w:val="26"/>
        </w:rPr>
        <w:t>. If you refuse to pay your debt, I reserve the right to use an attorney or collection agency to secure payment.</w:t>
      </w:r>
    </w:p>
    <w:p w14:paraId="1D2034DF"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you anticipate becoming involved in a court case, I recommend that we discuss this fully before you waive your right to confidentiality. If your case requires my participation, you will be expected to pay for the professional time required.</w:t>
      </w:r>
    </w:p>
    <w:p w14:paraId="77990D80"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Fees are non-negotiable. To receive sliding scale fees, you must present proof of income through recent pay stubs or tax forms. Fees are subject to change at counselor’s discretion.</w:t>
      </w:r>
    </w:p>
    <w:p w14:paraId="45A7D412" w14:textId="77777777" w:rsidR="00066958" w:rsidRDefault="00066958" w:rsidP="006F3CF5">
      <w:pPr>
        <w:widowControl w:val="0"/>
        <w:autoSpaceDE w:val="0"/>
        <w:autoSpaceDN w:val="0"/>
        <w:adjustRightInd w:val="0"/>
        <w:rPr>
          <w:rFonts w:ascii="Trebuchet MS" w:hAnsi="Trebuchet MS" w:cs="Trebuchet MS"/>
          <w:color w:val="343434"/>
          <w:sz w:val="32"/>
          <w:szCs w:val="32"/>
        </w:rPr>
      </w:pPr>
    </w:p>
    <w:p w14:paraId="527F9805" w14:textId="77777777" w:rsidR="006F3CF5" w:rsidRDefault="006F3CF5" w:rsidP="006F3CF5">
      <w:pPr>
        <w:widowControl w:val="0"/>
        <w:autoSpaceDE w:val="0"/>
        <w:autoSpaceDN w:val="0"/>
        <w:adjustRightInd w:val="0"/>
        <w:rPr>
          <w:rFonts w:ascii="Trebuchet MS" w:hAnsi="Trebuchet MS" w:cs="Trebuchet MS"/>
          <w:color w:val="343434"/>
          <w:sz w:val="32"/>
          <w:szCs w:val="32"/>
        </w:rPr>
      </w:pPr>
      <w:r>
        <w:rPr>
          <w:rFonts w:ascii="Trebuchet MS" w:hAnsi="Trebuchet MS" w:cs="Trebuchet MS"/>
          <w:color w:val="343434"/>
          <w:sz w:val="32"/>
          <w:szCs w:val="32"/>
        </w:rPr>
        <w:t>Fee Schedule</w:t>
      </w:r>
    </w:p>
    <w:p w14:paraId="03F7DDB9" w14:textId="77777777" w:rsidR="006F3CF5" w:rsidRDefault="006F3CF5" w:rsidP="006F3CF5">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90791 psychiatric diagn</w:t>
      </w:r>
      <w:r w:rsidR="00066958">
        <w:rPr>
          <w:rFonts w:ascii="Arial" w:hAnsi="Arial" w:cs="Arial"/>
          <w:color w:val="343434"/>
          <w:sz w:val="26"/>
          <w:szCs w:val="26"/>
        </w:rPr>
        <w:t>ostic evaluation</w:t>
      </w:r>
      <w:proofErr w:type="gramEnd"/>
      <w:r w:rsidR="00066958">
        <w:rPr>
          <w:rFonts w:ascii="Arial" w:hAnsi="Arial" w:cs="Arial"/>
          <w:color w:val="343434"/>
          <w:sz w:val="26"/>
          <w:szCs w:val="26"/>
        </w:rPr>
        <w:t xml:space="preserve"> (Intake) – $125</w:t>
      </w:r>
    </w:p>
    <w:p w14:paraId="5701B6E1"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90834 psychotherapy 45 minutes – $100</w:t>
      </w:r>
    </w:p>
    <w:p w14:paraId="77D1CA2C"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90837 psychotherapy 60</w:t>
      </w:r>
      <w:r w:rsidR="00066958">
        <w:rPr>
          <w:rFonts w:ascii="Arial" w:hAnsi="Arial" w:cs="Arial"/>
          <w:color w:val="343434"/>
          <w:sz w:val="26"/>
          <w:szCs w:val="26"/>
        </w:rPr>
        <w:t xml:space="preserve"> minutes – $125</w:t>
      </w:r>
    </w:p>
    <w:p w14:paraId="46460487" w14:textId="77777777" w:rsidR="006F3CF5" w:rsidRDefault="006F3CF5" w:rsidP="006F3CF5">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90846 family psychotherapy without the patient present – $100</w:t>
      </w:r>
      <w:proofErr w:type="gramEnd"/>
    </w:p>
    <w:p w14:paraId="07288357"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90853 group therapy 90 to 120 minutes –  $80</w:t>
      </w:r>
    </w:p>
    <w:p w14:paraId="38436158" w14:textId="77777777" w:rsidR="006F3CF5" w:rsidRDefault="006F3CF5" w:rsidP="006F3CF5">
      <w:pPr>
        <w:widowControl w:val="0"/>
        <w:autoSpaceDE w:val="0"/>
        <w:autoSpaceDN w:val="0"/>
        <w:adjustRightInd w:val="0"/>
        <w:rPr>
          <w:rFonts w:ascii="Trebuchet MS" w:hAnsi="Trebuchet MS" w:cs="Trebuchet MS"/>
          <w:color w:val="343434"/>
          <w:sz w:val="32"/>
          <w:szCs w:val="32"/>
        </w:rPr>
      </w:pPr>
      <w:r>
        <w:rPr>
          <w:rFonts w:ascii="Trebuchet MS" w:hAnsi="Trebuchet MS" w:cs="Trebuchet MS"/>
          <w:color w:val="343434"/>
          <w:sz w:val="32"/>
          <w:szCs w:val="32"/>
        </w:rPr>
        <w:t>Sliding Scale</w:t>
      </w:r>
    </w:p>
    <w:p w14:paraId="0BFA446A" w14:textId="77777777" w:rsidR="006F3CF5" w:rsidRDefault="006F3CF5" w:rsidP="006F3CF5">
      <w:pPr>
        <w:widowControl w:val="0"/>
        <w:autoSpaceDE w:val="0"/>
        <w:autoSpaceDN w:val="0"/>
        <w:adjustRightInd w:val="0"/>
        <w:rPr>
          <w:rFonts w:ascii="Arial" w:hAnsi="Arial" w:cs="Arial"/>
          <w:color w:val="343434"/>
          <w:sz w:val="26"/>
          <w:szCs w:val="26"/>
        </w:rPr>
      </w:pPr>
      <w:proofErr w:type="gramStart"/>
      <w:r>
        <w:rPr>
          <w:rFonts w:ascii="Arial" w:hAnsi="Arial" w:cs="Arial"/>
          <w:color w:val="343434"/>
          <w:sz w:val="26"/>
          <w:szCs w:val="26"/>
        </w:rPr>
        <w:t>60 minute</w:t>
      </w:r>
      <w:proofErr w:type="gramEnd"/>
      <w:r>
        <w:rPr>
          <w:rFonts w:ascii="Arial" w:hAnsi="Arial" w:cs="Arial"/>
          <w:color w:val="343434"/>
          <w:sz w:val="26"/>
          <w:szCs w:val="26"/>
        </w:rPr>
        <w:t xml:space="preserve"> individual session</w:t>
      </w:r>
    </w:p>
    <w:tbl>
      <w:tblPr>
        <w:tblW w:w="0" w:type="auto"/>
        <w:tblBorders>
          <w:top w:val="single" w:sz="8" w:space="0" w:color="E1E1E1"/>
          <w:left w:val="single" w:sz="8" w:space="0" w:color="E1E1E1"/>
          <w:right w:val="single" w:sz="8" w:space="0" w:color="E1E1E1"/>
        </w:tblBorders>
        <w:tblLayout w:type="fixed"/>
        <w:tblLook w:val="0000" w:firstRow="0" w:lastRow="0" w:firstColumn="0" w:lastColumn="0" w:noHBand="0" w:noVBand="0"/>
      </w:tblPr>
      <w:tblGrid>
        <w:gridCol w:w="7960"/>
        <w:gridCol w:w="2980"/>
      </w:tblGrid>
      <w:tr w:rsidR="006F3CF5" w14:paraId="40754F28" w14:textId="77777777">
        <w:tc>
          <w:tcPr>
            <w:tcW w:w="7960" w:type="dxa"/>
            <w:tcBorders>
              <w:top w:val="single" w:sz="8" w:space="0" w:color="E1E1E1"/>
            </w:tcBorders>
            <w:tcMar>
              <w:top w:w="480" w:type="nil"/>
              <w:left w:w="120" w:type="nil"/>
              <w:bottom w:w="120" w:type="nil"/>
              <w:right w:w="480" w:type="nil"/>
            </w:tcMar>
          </w:tcPr>
          <w:p w14:paraId="1B1F4903"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$30,000 (Yearly) and below</w:t>
            </w:r>
          </w:p>
        </w:tc>
        <w:tc>
          <w:tcPr>
            <w:tcW w:w="2980" w:type="dxa"/>
            <w:tcBorders>
              <w:top w:val="single" w:sz="8" w:space="0" w:color="E1E1E1"/>
            </w:tcBorders>
            <w:tcMar>
              <w:top w:w="480" w:type="nil"/>
              <w:left w:w="120" w:type="nil"/>
              <w:bottom w:w="120" w:type="nil"/>
              <w:right w:w="480" w:type="nil"/>
            </w:tcMar>
          </w:tcPr>
          <w:p w14:paraId="1A40BBE7"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$40</w:t>
            </w:r>
          </w:p>
        </w:tc>
      </w:tr>
      <w:tr w:rsidR="006F3CF5" w14:paraId="0BBF1DAC" w14:textId="77777777">
        <w:tblPrEx>
          <w:tblBorders>
            <w:top w:val="none" w:sz="0" w:space="0" w:color="auto"/>
          </w:tblBorders>
        </w:tblPrEx>
        <w:tc>
          <w:tcPr>
            <w:tcW w:w="7960" w:type="dxa"/>
            <w:tcBorders>
              <w:top w:val="single" w:sz="8" w:space="0" w:color="E1E1E1"/>
            </w:tcBorders>
            <w:tcMar>
              <w:top w:w="480" w:type="nil"/>
              <w:left w:w="120" w:type="nil"/>
              <w:bottom w:w="120" w:type="nil"/>
              <w:right w:w="480" w:type="nil"/>
            </w:tcMar>
          </w:tcPr>
          <w:p w14:paraId="6F6A7AE2"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$30,001 (Yearly) to $50,000</w:t>
            </w:r>
          </w:p>
        </w:tc>
        <w:tc>
          <w:tcPr>
            <w:tcW w:w="2980" w:type="dxa"/>
            <w:tcBorders>
              <w:top w:val="single" w:sz="8" w:space="0" w:color="E1E1E1"/>
            </w:tcBorders>
            <w:tcMar>
              <w:top w:w="480" w:type="nil"/>
              <w:left w:w="120" w:type="nil"/>
              <w:bottom w:w="120" w:type="nil"/>
              <w:right w:w="480" w:type="nil"/>
            </w:tcMar>
          </w:tcPr>
          <w:p w14:paraId="62F929A2"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$50</w:t>
            </w:r>
          </w:p>
        </w:tc>
      </w:tr>
      <w:tr w:rsidR="006F3CF5" w14:paraId="69A1E0F1" w14:textId="77777777">
        <w:tblPrEx>
          <w:tblBorders>
            <w:top w:val="none" w:sz="0" w:space="0" w:color="auto"/>
          </w:tblBorders>
        </w:tblPrEx>
        <w:tc>
          <w:tcPr>
            <w:tcW w:w="7960" w:type="dxa"/>
            <w:tcBorders>
              <w:top w:val="single" w:sz="8" w:space="0" w:color="E1E1E1"/>
            </w:tcBorders>
            <w:tcMar>
              <w:top w:w="480" w:type="nil"/>
              <w:left w:w="120" w:type="nil"/>
              <w:bottom w:w="120" w:type="nil"/>
              <w:right w:w="480" w:type="nil"/>
            </w:tcMar>
          </w:tcPr>
          <w:p w14:paraId="3DE1FF97"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$50,001 (Yearly) to $70,000</w:t>
            </w:r>
          </w:p>
        </w:tc>
        <w:tc>
          <w:tcPr>
            <w:tcW w:w="2980" w:type="dxa"/>
            <w:tcBorders>
              <w:top w:val="single" w:sz="8" w:space="0" w:color="E1E1E1"/>
            </w:tcBorders>
            <w:tcMar>
              <w:top w:w="480" w:type="nil"/>
              <w:left w:w="120" w:type="nil"/>
              <w:bottom w:w="120" w:type="nil"/>
              <w:right w:w="480" w:type="nil"/>
            </w:tcMar>
          </w:tcPr>
          <w:p w14:paraId="22170EDC"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$75</w:t>
            </w:r>
          </w:p>
        </w:tc>
      </w:tr>
      <w:tr w:rsidR="006F3CF5" w14:paraId="60FF97F5" w14:textId="77777777">
        <w:tblPrEx>
          <w:tblBorders>
            <w:top w:val="none" w:sz="0" w:space="0" w:color="auto"/>
          </w:tblBorders>
        </w:tblPrEx>
        <w:tc>
          <w:tcPr>
            <w:tcW w:w="7960" w:type="dxa"/>
            <w:tcBorders>
              <w:top w:val="single" w:sz="8" w:space="0" w:color="E1E1E1"/>
            </w:tcBorders>
            <w:tcMar>
              <w:top w:w="480" w:type="nil"/>
              <w:left w:w="120" w:type="nil"/>
              <w:bottom w:w="120" w:type="nil"/>
              <w:right w:w="480" w:type="nil"/>
            </w:tcMar>
          </w:tcPr>
          <w:p w14:paraId="023F6149"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$70,001 (Yearly) to $90,000</w:t>
            </w:r>
          </w:p>
        </w:tc>
        <w:tc>
          <w:tcPr>
            <w:tcW w:w="2980" w:type="dxa"/>
            <w:tcBorders>
              <w:top w:val="single" w:sz="8" w:space="0" w:color="E1E1E1"/>
            </w:tcBorders>
            <w:tcMar>
              <w:top w:w="480" w:type="nil"/>
              <w:left w:w="120" w:type="nil"/>
              <w:bottom w:w="120" w:type="nil"/>
              <w:right w:w="480" w:type="nil"/>
            </w:tcMar>
          </w:tcPr>
          <w:p w14:paraId="5483D7EE"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$100</w:t>
            </w:r>
          </w:p>
        </w:tc>
      </w:tr>
      <w:tr w:rsidR="006F3CF5" w14:paraId="5350C8AA" w14:textId="77777777">
        <w:tblPrEx>
          <w:tblBorders>
            <w:top w:val="none" w:sz="0" w:space="0" w:color="auto"/>
            <w:bottom w:val="single" w:sz="8" w:space="0" w:color="E1E1E1"/>
          </w:tblBorders>
        </w:tblPrEx>
        <w:tc>
          <w:tcPr>
            <w:tcW w:w="7960" w:type="dxa"/>
            <w:tcBorders>
              <w:top w:val="single" w:sz="8" w:space="0" w:color="E1E1E1"/>
            </w:tcBorders>
            <w:tcMar>
              <w:top w:w="480" w:type="nil"/>
              <w:left w:w="120" w:type="nil"/>
              <w:bottom w:w="120" w:type="nil"/>
              <w:right w:w="480" w:type="nil"/>
            </w:tcMar>
          </w:tcPr>
          <w:p w14:paraId="48758252"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$90,001 and above</w:t>
            </w:r>
          </w:p>
        </w:tc>
        <w:tc>
          <w:tcPr>
            <w:tcW w:w="2980" w:type="dxa"/>
            <w:tcBorders>
              <w:top w:val="single" w:sz="8" w:space="0" w:color="E1E1E1"/>
            </w:tcBorders>
            <w:tcMar>
              <w:top w:w="480" w:type="nil"/>
              <w:left w:w="120" w:type="nil"/>
              <w:bottom w:w="120" w:type="nil"/>
              <w:right w:w="480" w:type="nil"/>
            </w:tcMar>
          </w:tcPr>
          <w:p w14:paraId="5F156857"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$1</w:t>
            </w:r>
            <w:r w:rsidR="00211340">
              <w:rPr>
                <w:rFonts w:ascii="Arial" w:hAnsi="Arial" w:cs="Arial"/>
                <w:color w:val="343434"/>
                <w:sz w:val="26"/>
                <w:szCs w:val="26"/>
              </w:rPr>
              <w:t>25</w:t>
            </w:r>
          </w:p>
        </w:tc>
      </w:tr>
    </w:tbl>
    <w:p w14:paraId="5D2F13A6"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1.5 to 2 hour group session</w:t>
      </w:r>
      <w:r w:rsidR="00211340">
        <w:rPr>
          <w:rFonts w:ascii="Arial" w:hAnsi="Arial" w:cs="Arial"/>
          <w:color w:val="343434"/>
          <w:sz w:val="26"/>
          <w:szCs w:val="26"/>
        </w:rPr>
        <w:t xml:space="preserve">                                                                 </w:t>
      </w:r>
    </w:p>
    <w:tbl>
      <w:tblPr>
        <w:tblW w:w="0" w:type="auto"/>
        <w:tblBorders>
          <w:top w:val="single" w:sz="8" w:space="0" w:color="E1E1E1"/>
          <w:left w:val="single" w:sz="8" w:space="0" w:color="E1E1E1"/>
          <w:right w:val="single" w:sz="8" w:space="0" w:color="E1E1E1"/>
        </w:tblBorders>
        <w:tblLayout w:type="fixed"/>
        <w:tblLook w:val="0000" w:firstRow="0" w:lastRow="0" w:firstColumn="0" w:lastColumn="0" w:noHBand="0" w:noVBand="0"/>
      </w:tblPr>
      <w:tblGrid>
        <w:gridCol w:w="8160"/>
        <w:gridCol w:w="2780"/>
      </w:tblGrid>
      <w:tr w:rsidR="006F3CF5" w14:paraId="0A733ED4" w14:textId="77777777">
        <w:tc>
          <w:tcPr>
            <w:tcW w:w="8160" w:type="dxa"/>
            <w:tcBorders>
              <w:top w:val="single" w:sz="8" w:space="0" w:color="E1E1E1"/>
            </w:tcBorders>
            <w:tcMar>
              <w:top w:w="480" w:type="nil"/>
              <w:left w:w="120" w:type="nil"/>
              <w:bottom w:w="120" w:type="nil"/>
              <w:right w:w="480" w:type="nil"/>
            </w:tcMar>
          </w:tcPr>
          <w:p w14:paraId="7211A4BD"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$30,000 (Yearly) and below</w:t>
            </w:r>
          </w:p>
        </w:tc>
        <w:tc>
          <w:tcPr>
            <w:tcW w:w="2780" w:type="dxa"/>
            <w:tcBorders>
              <w:top w:val="single" w:sz="8" w:space="0" w:color="E1E1E1"/>
            </w:tcBorders>
            <w:tcMar>
              <w:top w:w="480" w:type="nil"/>
              <w:left w:w="120" w:type="nil"/>
              <w:bottom w:w="120" w:type="nil"/>
              <w:right w:w="480" w:type="nil"/>
            </w:tcMar>
          </w:tcPr>
          <w:p w14:paraId="29E9D3E8" w14:textId="77777777" w:rsidR="006F3CF5" w:rsidRDefault="00211340">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$2</w:t>
            </w:r>
            <w:r w:rsidR="006F3CF5">
              <w:rPr>
                <w:rFonts w:ascii="Arial" w:hAnsi="Arial" w:cs="Arial"/>
                <w:color w:val="343434"/>
                <w:sz w:val="26"/>
                <w:szCs w:val="26"/>
              </w:rPr>
              <w:t>0</w:t>
            </w:r>
          </w:p>
        </w:tc>
      </w:tr>
      <w:tr w:rsidR="006F3CF5" w14:paraId="6FF07C2C" w14:textId="77777777">
        <w:tblPrEx>
          <w:tblBorders>
            <w:top w:val="none" w:sz="0" w:space="0" w:color="auto"/>
          </w:tblBorders>
        </w:tblPrEx>
        <w:tc>
          <w:tcPr>
            <w:tcW w:w="8160" w:type="dxa"/>
            <w:tcBorders>
              <w:top w:val="single" w:sz="8" w:space="0" w:color="E1E1E1"/>
            </w:tcBorders>
            <w:tcMar>
              <w:top w:w="480" w:type="nil"/>
              <w:left w:w="120" w:type="nil"/>
              <w:bottom w:w="120" w:type="nil"/>
              <w:right w:w="480" w:type="nil"/>
            </w:tcMar>
          </w:tcPr>
          <w:p w14:paraId="023E12CD"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$30,001 (Yearly) to $50,000</w:t>
            </w:r>
          </w:p>
        </w:tc>
        <w:tc>
          <w:tcPr>
            <w:tcW w:w="2780" w:type="dxa"/>
            <w:tcBorders>
              <w:top w:val="single" w:sz="8" w:space="0" w:color="E1E1E1"/>
            </w:tcBorders>
            <w:tcMar>
              <w:top w:w="480" w:type="nil"/>
              <w:left w:w="120" w:type="nil"/>
              <w:bottom w:w="120" w:type="nil"/>
              <w:right w:w="480" w:type="nil"/>
            </w:tcMar>
          </w:tcPr>
          <w:p w14:paraId="2263F666"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$30</w:t>
            </w:r>
          </w:p>
        </w:tc>
      </w:tr>
      <w:tr w:rsidR="006F3CF5" w14:paraId="5200A78C" w14:textId="77777777">
        <w:tblPrEx>
          <w:tblBorders>
            <w:top w:val="none" w:sz="0" w:space="0" w:color="auto"/>
          </w:tblBorders>
        </w:tblPrEx>
        <w:tc>
          <w:tcPr>
            <w:tcW w:w="8160" w:type="dxa"/>
            <w:tcBorders>
              <w:top w:val="single" w:sz="8" w:space="0" w:color="E1E1E1"/>
            </w:tcBorders>
            <w:tcMar>
              <w:top w:w="480" w:type="nil"/>
              <w:left w:w="120" w:type="nil"/>
              <w:bottom w:w="120" w:type="nil"/>
              <w:right w:w="480" w:type="nil"/>
            </w:tcMar>
          </w:tcPr>
          <w:p w14:paraId="77D8A203"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$50,001 (Yearly) to $70,000</w:t>
            </w:r>
          </w:p>
        </w:tc>
        <w:tc>
          <w:tcPr>
            <w:tcW w:w="2780" w:type="dxa"/>
            <w:tcBorders>
              <w:top w:val="single" w:sz="8" w:space="0" w:color="E1E1E1"/>
            </w:tcBorders>
            <w:tcMar>
              <w:top w:w="480" w:type="nil"/>
              <w:left w:w="120" w:type="nil"/>
              <w:bottom w:w="120" w:type="nil"/>
              <w:right w:w="480" w:type="nil"/>
            </w:tcMar>
          </w:tcPr>
          <w:p w14:paraId="4CCC3B02"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$40</w:t>
            </w:r>
          </w:p>
        </w:tc>
      </w:tr>
      <w:tr w:rsidR="006F3CF5" w14:paraId="0F17A02D" w14:textId="77777777">
        <w:tblPrEx>
          <w:tblBorders>
            <w:top w:val="none" w:sz="0" w:space="0" w:color="auto"/>
          </w:tblBorders>
        </w:tblPrEx>
        <w:tc>
          <w:tcPr>
            <w:tcW w:w="8160" w:type="dxa"/>
            <w:tcBorders>
              <w:top w:val="single" w:sz="8" w:space="0" w:color="E1E1E1"/>
            </w:tcBorders>
            <w:tcMar>
              <w:top w:w="480" w:type="nil"/>
              <w:left w:w="120" w:type="nil"/>
              <w:bottom w:w="120" w:type="nil"/>
              <w:right w:w="480" w:type="nil"/>
            </w:tcMar>
          </w:tcPr>
          <w:p w14:paraId="7E288E4E"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$70,001 (Yearly) to $90,000</w:t>
            </w:r>
            <w:bookmarkStart w:id="0" w:name="_GoBack"/>
            <w:bookmarkEnd w:id="0"/>
          </w:p>
        </w:tc>
        <w:tc>
          <w:tcPr>
            <w:tcW w:w="2780" w:type="dxa"/>
            <w:tcBorders>
              <w:top w:val="single" w:sz="8" w:space="0" w:color="E1E1E1"/>
            </w:tcBorders>
            <w:tcMar>
              <w:top w:w="480" w:type="nil"/>
              <w:left w:w="120" w:type="nil"/>
              <w:bottom w:w="120" w:type="nil"/>
              <w:right w:w="480" w:type="nil"/>
            </w:tcMar>
          </w:tcPr>
          <w:p w14:paraId="74E84E7A"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$60</w:t>
            </w:r>
          </w:p>
        </w:tc>
      </w:tr>
      <w:tr w:rsidR="006F3CF5" w14:paraId="3CC35292" w14:textId="77777777">
        <w:tblPrEx>
          <w:tblBorders>
            <w:top w:val="none" w:sz="0" w:space="0" w:color="auto"/>
            <w:bottom w:val="single" w:sz="8" w:space="0" w:color="E1E1E1"/>
          </w:tblBorders>
        </w:tblPrEx>
        <w:tc>
          <w:tcPr>
            <w:tcW w:w="8160" w:type="dxa"/>
            <w:tcBorders>
              <w:top w:val="single" w:sz="8" w:space="0" w:color="E1E1E1"/>
            </w:tcBorders>
            <w:tcMar>
              <w:top w:w="480" w:type="nil"/>
              <w:left w:w="120" w:type="nil"/>
              <w:bottom w:w="120" w:type="nil"/>
              <w:right w:w="480" w:type="nil"/>
            </w:tcMar>
          </w:tcPr>
          <w:p w14:paraId="18688996"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$90,001 (Yearly) and above</w:t>
            </w:r>
          </w:p>
        </w:tc>
        <w:tc>
          <w:tcPr>
            <w:tcW w:w="2780" w:type="dxa"/>
            <w:tcBorders>
              <w:top w:val="single" w:sz="8" w:space="0" w:color="E1E1E1"/>
            </w:tcBorders>
            <w:tcMar>
              <w:top w:w="480" w:type="nil"/>
              <w:left w:w="120" w:type="nil"/>
              <w:bottom w:w="120" w:type="nil"/>
              <w:right w:w="480" w:type="nil"/>
            </w:tcMar>
          </w:tcPr>
          <w:p w14:paraId="7D72EB8C" w14:textId="77777777" w:rsidR="006F3CF5" w:rsidRDefault="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$80</w:t>
            </w:r>
          </w:p>
        </w:tc>
      </w:tr>
    </w:tbl>
    <w:p w14:paraId="2C43767E"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Insurance</w:t>
      </w:r>
    </w:p>
    <w:p w14:paraId="3325963E"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14:paraId="44019387"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 xml:space="preserve">You should also be aware that most insurance companies require you to authorize me to provide them with a clinical diagnosis. Sometimes I have to provide additional clinical </w:t>
      </w:r>
      <w:proofErr w:type="gramStart"/>
      <w:r>
        <w:rPr>
          <w:rFonts w:ascii="Arial" w:hAnsi="Arial" w:cs="Arial"/>
          <w:color w:val="343434"/>
          <w:sz w:val="26"/>
          <w:szCs w:val="26"/>
        </w:rPr>
        <w:t>information which</w:t>
      </w:r>
      <w:proofErr w:type="gramEnd"/>
      <w:r>
        <w:rPr>
          <w:rFonts w:ascii="Arial" w:hAnsi="Arial" w:cs="Arial"/>
          <w:color w:val="343434"/>
          <w:sz w:val="26"/>
          <w:szCs w:val="26"/>
        </w:rPr>
        <w:t xml:space="preserve"> will become part of the insurance company files. By signing this Agreement, you agree that I can provide requested information to your carrier if you plan to pay with insurance.</w:t>
      </w:r>
    </w:p>
    <w:p w14:paraId="0B857511"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In addition, if you plan to use your insurance, authorization from the insurance company may be required before they will cover counseling fees. If you did not obtain authorization and it is required, you may be responsible for full payment of the fee. Many policies leave a percentage of the fee to be covered by the patient. Either amount is to be paid at the time of the visit by check or cash. In addition, some insurance companies also have a deductible, which is an out-of-pocket amount that must be paid by the patient before the insurance companies are willing to begin paying any amount for services.</w:t>
      </w:r>
    </w:p>
    <w:p w14:paraId="19E8CA8B"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12AF0746"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Contacting Me</w:t>
      </w:r>
    </w:p>
    <w:p w14:paraId="5FB6B490"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you feel you cannot wait for a return call or it is an emergency situation, go to your local hospital or call 911.</w:t>
      </w:r>
    </w:p>
    <w:p w14:paraId="7F39D1A0"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Email</w:t>
      </w:r>
    </w:p>
    <w:p w14:paraId="682BD4BE"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Counselor may request client’s email address. Client has the right to refuse to divulge email address. Counselor may use email addresses to periodically check in with clients who have ended therapy suddenly. Counselor may also use email addresses to send newsletters with valuable therapeutic information such as tips for depression or relaxation techniques. Counselor also has a blog and if this is appropriate for the client, counselor may send information through email about subscribing to the blog or information related to mental health and wellness. If you would like to receive any correspondence through email, please write your email address here  ______________________.</w:t>
      </w:r>
    </w:p>
    <w:p w14:paraId="748D7355"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If you would like to opt out of email correspondence, please check here _____</w:t>
      </w:r>
      <w:proofErr w:type="gramStart"/>
      <w:r>
        <w:rPr>
          <w:rFonts w:ascii="Arial" w:hAnsi="Arial" w:cs="Arial"/>
          <w:color w:val="343434"/>
          <w:sz w:val="26"/>
          <w:szCs w:val="26"/>
        </w:rPr>
        <w:t>_ .</w:t>
      </w:r>
      <w:proofErr w:type="gramEnd"/>
    </w:p>
    <w:p w14:paraId="718E7CCF" w14:textId="77777777" w:rsidR="006F3CF5" w:rsidRDefault="006F3CF5" w:rsidP="006F3CF5">
      <w:pPr>
        <w:widowControl w:val="0"/>
        <w:autoSpaceDE w:val="0"/>
        <w:autoSpaceDN w:val="0"/>
        <w:adjustRightInd w:val="0"/>
        <w:rPr>
          <w:rFonts w:ascii="Trebuchet MS" w:hAnsi="Trebuchet MS" w:cs="Trebuchet MS"/>
          <w:color w:val="343434"/>
          <w:sz w:val="36"/>
          <w:szCs w:val="36"/>
        </w:rPr>
      </w:pPr>
      <w:r>
        <w:rPr>
          <w:rFonts w:ascii="Trebuchet MS" w:hAnsi="Trebuchet MS" w:cs="Trebuchet MS"/>
          <w:color w:val="343434"/>
          <w:sz w:val="36"/>
          <w:szCs w:val="36"/>
        </w:rPr>
        <w:t>Consent to Counseling</w:t>
      </w:r>
    </w:p>
    <w:p w14:paraId="02571800" w14:textId="77777777" w:rsidR="006F3CF5" w:rsidRDefault="006F3CF5" w:rsidP="006F3CF5">
      <w:pPr>
        <w:widowControl w:val="0"/>
        <w:autoSpaceDE w:val="0"/>
        <w:autoSpaceDN w:val="0"/>
        <w:adjustRightInd w:val="0"/>
        <w:rPr>
          <w:rFonts w:ascii="Arial" w:hAnsi="Arial" w:cs="Arial"/>
          <w:color w:val="343434"/>
          <w:sz w:val="26"/>
          <w:szCs w:val="26"/>
        </w:rPr>
      </w:pPr>
      <w:r>
        <w:rPr>
          <w:rFonts w:ascii="Arial" w:hAnsi="Arial" w:cs="Arial"/>
          <w:color w:val="343434"/>
          <w:sz w:val="26"/>
          <w:szCs w:val="26"/>
        </w:rPr>
        <w:t>Your signature below indicates that you have read this Agreement and agree to its terms.</w:t>
      </w:r>
    </w:p>
    <w:p w14:paraId="624062C8" w14:textId="77777777" w:rsidR="00780872" w:rsidRDefault="006F3CF5" w:rsidP="006F3CF5">
      <w:r>
        <w:rPr>
          <w:rFonts w:ascii="Arial" w:hAnsi="Arial" w:cs="Arial"/>
          <w:color w:val="343434"/>
          <w:sz w:val="26"/>
          <w:szCs w:val="26"/>
        </w:rPr>
        <w:t>Client Signature _______________________</w:t>
      </w:r>
      <w:proofErr w:type="gramStart"/>
      <w:r>
        <w:rPr>
          <w:rFonts w:ascii="Arial" w:hAnsi="Arial" w:cs="Arial"/>
          <w:color w:val="343434"/>
          <w:sz w:val="26"/>
          <w:szCs w:val="26"/>
        </w:rPr>
        <w:t>_        Date</w:t>
      </w:r>
      <w:proofErr w:type="gramEnd"/>
      <w:r>
        <w:rPr>
          <w:rFonts w:ascii="Arial" w:hAnsi="Arial" w:cs="Arial"/>
          <w:color w:val="343434"/>
          <w:sz w:val="26"/>
          <w:szCs w:val="26"/>
        </w:rPr>
        <w:t>__________________</w:t>
      </w:r>
    </w:p>
    <w:sectPr w:rsidR="00780872" w:rsidSect="007808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F5"/>
    <w:rsid w:val="00066958"/>
    <w:rsid w:val="00211340"/>
    <w:rsid w:val="006F3CF5"/>
    <w:rsid w:val="0078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01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Group_psychotherap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Informed_consent" TargetMode="External"/><Relationship Id="rId6" Type="http://schemas.openxmlformats.org/officeDocument/2006/relationships/hyperlink" Target="http://en.wikipedia.org/wiki/Health_Insurance_Portability_and_Accountability_Act" TargetMode="External"/><Relationship Id="rId7" Type="http://schemas.openxmlformats.org/officeDocument/2006/relationships/hyperlink" Target="http://en.wikipedia.org/wiki/U.S._patients%27_bill_of_rights" TargetMode="External"/><Relationship Id="rId8" Type="http://schemas.openxmlformats.org/officeDocument/2006/relationships/hyperlink" Target="http://en.wikipedia.org/wiki/Protected_health_information" TargetMode="External"/><Relationship Id="rId9" Type="http://schemas.openxmlformats.org/officeDocument/2006/relationships/hyperlink" Target="http://en.wikipedia.org/wiki/Confidentiality" TargetMode="External"/><Relationship Id="rId10" Type="http://schemas.openxmlformats.org/officeDocument/2006/relationships/hyperlink" Target="http://en.wikipedia.org/wiki/Court_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1785</Words>
  <Characters>10177</Characters>
  <Application>Microsoft Macintosh Word</Application>
  <DocSecurity>0</DocSecurity>
  <Lines>84</Lines>
  <Paragraphs>23</Paragraphs>
  <ScaleCrop>false</ScaleCrop>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Gibson</dc:creator>
  <cp:keywords/>
  <dc:description/>
  <cp:lastModifiedBy>Jerry Gibson</cp:lastModifiedBy>
  <cp:revision>3</cp:revision>
  <cp:lastPrinted>2016-04-23T20:54:00Z</cp:lastPrinted>
  <dcterms:created xsi:type="dcterms:W3CDTF">2016-04-23T20:55:00Z</dcterms:created>
  <dcterms:modified xsi:type="dcterms:W3CDTF">2016-07-05T21:57:00Z</dcterms:modified>
</cp:coreProperties>
</file>